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35" w:rsidRPr="00053135" w:rsidRDefault="003944CF" w:rsidP="008F6B52">
      <w:pPr>
        <w:spacing w:after="0"/>
        <w:rPr>
          <w:b/>
          <w:sz w:val="40"/>
          <w:szCs w:val="40"/>
        </w:rPr>
      </w:pPr>
      <w:r w:rsidRPr="00053135">
        <w:rPr>
          <w:rFonts w:ascii="MyriadPro-Regular" w:hAnsi="MyriadPro-Regular"/>
          <w:b/>
          <w:sz w:val="40"/>
          <w:szCs w:val="40"/>
        </w:rPr>
        <w:t>ФАС: Одних бизнесменов будут проверять чаще, чем других</w:t>
      </w:r>
    </w:p>
    <w:p w:rsidR="003944CF" w:rsidRPr="008F6B52" w:rsidRDefault="003944CF" w:rsidP="008F6B52">
      <w:pPr>
        <w:spacing w:after="0"/>
        <w:jc w:val="both"/>
        <w:rPr>
          <w:rFonts w:eastAsia="Times New Roman" w:cs="Times New Roman"/>
          <w:sz w:val="35"/>
          <w:szCs w:val="35"/>
        </w:rPr>
      </w:pPr>
      <w:r w:rsidRPr="008F6B52">
        <w:rPr>
          <w:rFonts w:eastAsia="Times New Roman" w:cs="Times New Roman"/>
          <w:sz w:val="35"/>
          <w:szCs w:val="35"/>
        </w:rPr>
        <w:t xml:space="preserve">        </w:t>
      </w:r>
      <w:r w:rsidRPr="008F6B52">
        <w:rPr>
          <w:rFonts w:ascii="MyriadPro-Regular" w:eastAsia="Times New Roman" w:hAnsi="MyriadPro-Regular" w:cs="Times New Roman"/>
          <w:sz w:val="35"/>
          <w:szCs w:val="35"/>
        </w:rPr>
        <w:t>ФАС переходит на риск</w:t>
      </w:r>
      <w:r w:rsidRPr="008F6B52">
        <w:rPr>
          <w:rFonts w:eastAsia="Times New Roman" w:cs="Times New Roman"/>
          <w:sz w:val="35"/>
          <w:szCs w:val="35"/>
        </w:rPr>
        <w:t xml:space="preserve"> </w:t>
      </w:r>
      <w:r w:rsidRPr="008F6B52">
        <w:rPr>
          <w:rFonts w:ascii="MyriadPro-Regular" w:eastAsia="Times New Roman" w:hAnsi="MyriadPro-Regular" w:cs="Times New Roman"/>
          <w:sz w:val="35"/>
          <w:szCs w:val="35"/>
        </w:rPr>
        <w:t>ориентированный подход в сфере антимонопольного</w:t>
      </w:r>
      <w:r w:rsidRPr="008F6B52">
        <w:rPr>
          <w:rFonts w:eastAsia="Times New Roman" w:cs="Times New Roman"/>
          <w:sz w:val="35"/>
          <w:szCs w:val="35"/>
        </w:rPr>
        <w:t xml:space="preserve"> </w:t>
      </w:r>
      <w:r w:rsidRPr="008F6B52">
        <w:rPr>
          <w:rFonts w:ascii="MyriadPro-Regular" w:eastAsia="Times New Roman" w:hAnsi="MyriadPro-Regular" w:cs="Times New Roman"/>
          <w:sz w:val="35"/>
          <w:szCs w:val="35"/>
        </w:rPr>
        <w:t>регулирования</w:t>
      </w:r>
      <w:r w:rsidRPr="008F6B52">
        <w:rPr>
          <w:rFonts w:eastAsia="Times New Roman" w:cs="Times New Roman"/>
          <w:sz w:val="35"/>
          <w:szCs w:val="35"/>
        </w:rPr>
        <w:t>.</w:t>
      </w:r>
    </w:p>
    <w:p w:rsidR="003944CF" w:rsidRPr="008F6B52" w:rsidRDefault="003944CF" w:rsidP="008F6B52">
      <w:pPr>
        <w:spacing w:after="0"/>
        <w:ind w:firstLine="708"/>
        <w:jc w:val="both"/>
        <w:rPr>
          <w:rFonts w:eastAsia="Times New Roman" w:cs="Times New Roman"/>
          <w:sz w:val="35"/>
          <w:szCs w:val="35"/>
        </w:rPr>
      </w:pPr>
      <w:r w:rsidRPr="008F6B52">
        <w:rPr>
          <w:rFonts w:ascii="MyriadPro-Regular" w:eastAsia="Times New Roman" w:hAnsi="MyriadPro-Regular" w:cs="Times New Roman"/>
          <w:sz w:val="35"/>
          <w:szCs w:val="35"/>
        </w:rPr>
        <w:t xml:space="preserve">Правительство России утвердило критерии отнесения деятельности </w:t>
      </w:r>
      <w:proofErr w:type="spellStart"/>
      <w:r w:rsidRPr="008F6B52">
        <w:rPr>
          <w:rFonts w:ascii="MyriadPro-Regular" w:eastAsia="Times New Roman" w:hAnsi="MyriadPro-Regular" w:cs="Times New Roman"/>
          <w:sz w:val="35"/>
          <w:szCs w:val="35"/>
        </w:rPr>
        <w:t>юрлиц</w:t>
      </w:r>
      <w:proofErr w:type="spellEnd"/>
      <w:r w:rsidRPr="008F6B52">
        <w:rPr>
          <w:rFonts w:ascii="MyriadPro-Regular" w:eastAsia="Times New Roman" w:hAnsi="MyriadPro-Regular" w:cs="Times New Roman"/>
          <w:sz w:val="35"/>
          <w:szCs w:val="35"/>
        </w:rPr>
        <w:t xml:space="preserve"> и ИП к определённой категории риска. </w:t>
      </w:r>
      <w:r w:rsidRPr="008F6B52">
        <w:rPr>
          <w:rFonts w:ascii="MyriadPro-Regular" w:eastAsia="Times New Roman" w:hAnsi="MyriadPro-Regular" w:cs="Times New Roman"/>
          <w:sz w:val="35"/>
          <w:szCs w:val="35"/>
        </w:rPr>
        <w:br/>
      </w:r>
      <w:r w:rsidRPr="008F6B52">
        <w:rPr>
          <w:rFonts w:eastAsia="Times New Roman" w:cs="Times New Roman"/>
          <w:sz w:val="35"/>
          <w:szCs w:val="35"/>
        </w:rPr>
        <w:t xml:space="preserve">         </w:t>
      </w:r>
      <w:r w:rsidRPr="008F6B52">
        <w:rPr>
          <w:rFonts w:ascii="MyriadPro-Regular" w:eastAsia="Times New Roman" w:hAnsi="MyriadPro-Regular" w:cs="Times New Roman"/>
          <w:sz w:val="35"/>
          <w:szCs w:val="35"/>
        </w:rPr>
        <w:t>Категоризация вводится в рамках реформы контрольно-надзорной деятельности. Определены три категории риска: средний, умеренный и низкий</w:t>
      </w:r>
      <w:r w:rsidRPr="008F6B52">
        <w:rPr>
          <w:rFonts w:eastAsia="Times New Roman" w:cs="Times New Roman"/>
          <w:sz w:val="35"/>
          <w:szCs w:val="35"/>
        </w:rPr>
        <w:t>.</w:t>
      </w:r>
    </w:p>
    <w:p w:rsidR="003944CF" w:rsidRPr="008F6B52" w:rsidRDefault="003944CF" w:rsidP="008F6B52">
      <w:pPr>
        <w:spacing w:after="0"/>
        <w:jc w:val="both"/>
        <w:rPr>
          <w:rFonts w:eastAsia="Times New Roman" w:cs="Times New Roman"/>
          <w:b/>
          <w:bCs/>
          <w:sz w:val="35"/>
          <w:szCs w:val="35"/>
        </w:rPr>
      </w:pPr>
      <w:r w:rsidRPr="008F6B52">
        <w:rPr>
          <w:rFonts w:ascii="MyriadPro-Regular" w:eastAsia="Times New Roman" w:hAnsi="MyriadPro-Regular" w:cs="Times New Roman"/>
          <w:b/>
          <w:bCs/>
          <w:sz w:val="35"/>
          <w:szCs w:val="35"/>
        </w:rPr>
        <w:t>Средний</w:t>
      </w:r>
      <w:r w:rsidRPr="008F6B52">
        <w:rPr>
          <w:rFonts w:eastAsia="Times New Roman" w:cs="Times New Roman"/>
          <w:b/>
          <w:bCs/>
          <w:sz w:val="35"/>
          <w:szCs w:val="35"/>
        </w:rPr>
        <w:t xml:space="preserve"> </w:t>
      </w:r>
      <w:r w:rsidRPr="008F6B52">
        <w:rPr>
          <w:rFonts w:ascii="MyriadPro-Regular" w:eastAsia="Times New Roman" w:hAnsi="MyriadPro-Regular" w:cs="Times New Roman"/>
          <w:b/>
          <w:bCs/>
          <w:sz w:val="35"/>
          <w:szCs w:val="35"/>
        </w:rPr>
        <w:t>риск</w:t>
      </w:r>
    </w:p>
    <w:p w:rsidR="003944CF" w:rsidRPr="008F6B52" w:rsidRDefault="003944CF" w:rsidP="008F6B52">
      <w:pPr>
        <w:spacing w:after="0"/>
        <w:jc w:val="both"/>
        <w:rPr>
          <w:rFonts w:eastAsia="Times New Roman" w:cs="Times New Roman"/>
          <w:b/>
          <w:bCs/>
          <w:sz w:val="35"/>
          <w:szCs w:val="35"/>
        </w:rPr>
      </w:pPr>
      <w:r w:rsidRPr="008F6B52">
        <w:rPr>
          <w:rFonts w:ascii="MyriadPro-Regular" w:eastAsia="Times New Roman" w:hAnsi="MyriadPro-Regular" w:cs="Times New Roman"/>
          <w:sz w:val="35"/>
          <w:szCs w:val="35"/>
        </w:rPr>
        <w:t>Сюда относятся:</w:t>
      </w:r>
    </w:p>
    <w:p w:rsidR="003944CF" w:rsidRPr="008F6B52" w:rsidRDefault="003944CF" w:rsidP="008F6B52">
      <w:pPr>
        <w:numPr>
          <w:ilvl w:val="0"/>
          <w:numId w:val="1"/>
        </w:numPr>
        <w:spacing w:after="120"/>
        <w:ind w:left="1434" w:hanging="357"/>
        <w:rPr>
          <w:rFonts w:ascii="MyriadPro-Regular" w:eastAsia="Times New Roman" w:hAnsi="MyriadPro-Regular" w:cs="Times New Roman"/>
          <w:sz w:val="35"/>
          <w:szCs w:val="35"/>
        </w:rPr>
      </w:pPr>
      <w:r w:rsidRPr="008F6B52">
        <w:rPr>
          <w:rFonts w:ascii="MyriadPro-Regular" w:eastAsia="Times New Roman" w:hAnsi="MyriadPro-Regular" w:cs="Times New Roman"/>
          <w:sz w:val="35"/>
          <w:szCs w:val="35"/>
        </w:rPr>
        <w:t xml:space="preserve">торговые сети с выручкой свыше 400 </w:t>
      </w:r>
      <w:proofErr w:type="spellStart"/>
      <w:proofErr w:type="gramStart"/>
      <w:r w:rsidRPr="008F6B52">
        <w:rPr>
          <w:rFonts w:ascii="MyriadPro-Regular" w:eastAsia="Times New Roman" w:hAnsi="MyriadPro-Regular" w:cs="Times New Roman"/>
          <w:sz w:val="35"/>
          <w:szCs w:val="35"/>
        </w:rPr>
        <w:t>млн</w:t>
      </w:r>
      <w:proofErr w:type="spellEnd"/>
      <w:proofErr w:type="gramEnd"/>
      <w:r w:rsidRPr="008F6B52">
        <w:rPr>
          <w:rFonts w:ascii="MyriadPro-Regular" w:eastAsia="Times New Roman" w:hAnsi="MyriadPro-Regular" w:cs="Times New Roman"/>
          <w:sz w:val="35"/>
          <w:szCs w:val="35"/>
        </w:rPr>
        <w:t xml:space="preserve"> рублей</w:t>
      </w:r>
    </w:p>
    <w:p w:rsidR="003944CF" w:rsidRPr="008F6B52" w:rsidRDefault="003944CF" w:rsidP="008F6B52">
      <w:pPr>
        <w:numPr>
          <w:ilvl w:val="0"/>
          <w:numId w:val="1"/>
        </w:numPr>
        <w:spacing w:after="120"/>
        <w:ind w:left="1434" w:hanging="357"/>
        <w:rPr>
          <w:rFonts w:ascii="MyriadPro-Regular" w:eastAsia="Times New Roman" w:hAnsi="MyriadPro-Regular" w:cs="Times New Roman"/>
          <w:sz w:val="35"/>
          <w:szCs w:val="35"/>
        </w:rPr>
      </w:pPr>
      <w:r w:rsidRPr="008F6B52">
        <w:rPr>
          <w:rFonts w:ascii="MyriadPro-Regular" w:eastAsia="Times New Roman" w:hAnsi="MyriadPro-Regular" w:cs="Times New Roman"/>
          <w:sz w:val="35"/>
          <w:szCs w:val="35"/>
        </w:rPr>
        <w:t>хозяйствующие субъекты - субъекты естественных монополий</w:t>
      </w:r>
    </w:p>
    <w:p w:rsidR="003944CF" w:rsidRPr="008F6B52" w:rsidRDefault="003944CF" w:rsidP="008F6B52">
      <w:pPr>
        <w:numPr>
          <w:ilvl w:val="0"/>
          <w:numId w:val="1"/>
        </w:numPr>
        <w:spacing w:after="0"/>
        <w:ind w:left="1440"/>
        <w:rPr>
          <w:rFonts w:ascii="MyriadPro-Regular" w:eastAsia="Times New Roman" w:hAnsi="MyriadPro-Regular" w:cs="Times New Roman"/>
          <w:sz w:val="35"/>
          <w:szCs w:val="35"/>
        </w:rPr>
      </w:pPr>
      <w:r w:rsidRPr="008F6B52">
        <w:rPr>
          <w:rFonts w:ascii="MyriadPro-Regular" w:eastAsia="Times New Roman" w:hAnsi="MyriadPro-Regular" w:cs="Times New Roman"/>
          <w:sz w:val="35"/>
          <w:szCs w:val="35"/>
        </w:rPr>
        <w:t xml:space="preserve">хозяйствующие субъекты, осуществляющие регулируемые виды деятельности с размером валовой выручки более 10 </w:t>
      </w:r>
      <w:proofErr w:type="spellStart"/>
      <w:proofErr w:type="gramStart"/>
      <w:r w:rsidRPr="008F6B52">
        <w:rPr>
          <w:rFonts w:ascii="MyriadPro-Regular" w:eastAsia="Times New Roman" w:hAnsi="MyriadPro-Regular" w:cs="Times New Roman"/>
          <w:sz w:val="35"/>
          <w:szCs w:val="35"/>
        </w:rPr>
        <w:t>млрд</w:t>
      </w:r>
      <w:proofErr w:type="spellEnd"/>
      <w:proofErr w:type="gramEnd"/>
      <w:r w:rsidRPr="008F6B52">
        <w:rPr>
          <w:rFonts w:ascii="MyriadPro-Regular" w:eastAsia="Times New Roman" w:hAnsi="MyriadPro-Regular" w:cs="Times New Roman"/>
          <w:sz w:val="35"/>
          <w:szCs w:val="35"/>
        </w:rPr>
        <w:t xml:space="preserve"> рублей.</w:t>
      </w:r>
    </w:p>
    <w:p w:rsidR="003944CF" w:rsidRPr="008F6B52" w:rsidRDefault="003944CF" w:rsidP="008F6B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6B52">
        <w:rPr>
          <w:rFonts w:ascii="MyriadPro-Regular" w:eastAsia="Times New Roman" w:hAnsi="MyriadPro-Regular" w:cs="Times New Roman"/>
          <w:sz w:val="35"/>
          <w:szCs w:val="35"/>
        </w:rPr>
        <w:t>Про</w:t>
      </w:r>
      <w:r w:rsidR="008F6B52">
        <w:rPr>
          <w:rFonts w:ascii="MyriadPro-Regular" w:eastAsia="Times New Roman" w:hAnsi="MyriadPro-Regular" w:cs="Times New Roman"/>
          <w:sz w:val="35"/>
          <w:szCs w:val="35"/>
        </w:rPr>
        <w:t>верки не чаще 1 раза в 3 года. </w:t>
      </w:r>
      <w:r w:rsidRPr="008F6B52">
        <w:rPr>
          <w:rFonts w:ascii="MyriadPro-Regular" w:eastAsia="Times New Roman" w:hAnsi="MyriadPro-Regular" w:cs="Times New Roman"/>
          <w:sz w:val="35"/>
          <w:szCs w:val="35"/>
        </w:rPr>
        <w:br/>
      </w:r>
      <w:r w:rsidRPr="008F6B52">
        <w:rPr>
          <w:rFonts w:ascii="MyriadPro-Regular" w:eastAsia="Times New Roman" w:hAnsi="MyriadPro-Regular" w:cs="Times New Roman"/>
          <w:b/>
          <w:bCs/>
          <w:sz w:val="35"/>
          <w:szCs w:val="35"/>
        </w:rPr>
        <w:t>Умеренный риск</w:t>
      </w:r>
      <w:r w:rsidR="008F6B52">
        <w:rPr>
          <w:rFonts w:ascii="MyriadPro-Regular" w:eastAsia="Times New Roman" w:hAnsi="MyriadPro-Regular" w:cs="Times New Roman"/>
          <w:sz w:val="35"/>
          <w:szCs w:val="35"/>
        </w:rPr>
        <w:t> </w:t>
      </w:r>
      <w:r w:rsidRPr="008F6B52">
        <w:rPr>
          <w:rFonts w:ascii="MyriadPro-Regular" w:eastAsia="Times New Roman" w:hAnsi="MyriadPro-Regular" w:cs="Times New Roman"/>
          <w:sz w:val="35"/>
          <w:szCs w:val="35"/>
        </w:rPr>
        <w:br/>
        <w:t xml:space="preserve">Сюда относятся хозяйствующие субъекты, имеющие выручку свыше 10 </w:t>
      </w:r>
      <w:proofErr w:type="spellStart"/>
      <w:proofErr w:type="gramStart"/>
      <w:r w:rsidRPr="008F6B52">
        <w:rPr>
          <w:rFonts w:ascii="MyriadPro-Regular" w:eastAsia="Times New Roman" w:hAnsi="MyriadPro-Regular" w:cs="Times New Roman"/>
          <w:sz w:val="35"/>
          <w:szCs w:val="35"/>
        </w:rPr>
        <w:t>млрд</w:t>
      </w:r>
      <w:proofErr w:type="spellEnd"/>
      <w:proofErr w:type="gramEnd"/>
      <w:r w:rsidRPr="008F6B52">
        <w:rPr>
          <w:rFonts w:ascii="MyriadPro-Regular" w:eastAsia="Times New Roman" w:hAnsi="MyriadPro-Regular" w:cs="Times New Roman"/>
          <w:sz w:val="35"/>
          <w:szCs w:val="35"/>
        </w:rPr>
        <w:t xml:space="preserve"> рублей, действующие в сферах:</w:t>
      </w:r>
    </w:p>
    <w:p w:rsidR="003944CF" w:rsidRPr="008F6B52" w:rsidRDefault="003944CF" w:rsidP="008F6B52">
      <w:pPr>
        <w:numPr>
          <w:ilvl w:val="0"/>
          <w:numId w:val="2"/>
        </w:numPr>
        <w:spacing w:after="120"/>
        <w:ind w:left="1434" w:hanging="357"/>
        <w:rPr>
          <w:rFonts w:ascii="MyriadPro-Regular" w:eastAsia="Times New Roman" w:hAnsi="MyriadPro-Regular" w:cs="Times New Roman"/>
          <w:sz w:val="35"/>
          <w:szCs w:val="35"/>
        </w:rPr>
      </w:pPr>
      <w:r w:rsidRPr="008F6B52">
        <w:rPr>
          <w:rFonts w:ascii="MyriadPro-Regular" w:eastAsia="Times New Roman" w:hAnsi="MyriadPro-Regular" w:cs="Times New Roman"/>
          <w:sz w:val="35"/>
          <w:szCs w:val="35"/>
        </w:rPr>
        <w:t xml:space="preserve">производства и продажи лекарств и </w:t>
      </w:r>
      <w:proofErr w:type="spellStart"/>
      <w:r w:rsidRPr="008F6B52">
        <w:rPr>
          <w:rFonts w:ascii="MyriadPro-Regular" w:eastAsia="Times New Roman" w:hAnsi="MyriadPro-Regular" w:cs="Times New Roman"/>
          <w:sz w:val="35"/>
          <w:szCs w:val="35"/>
        </w:rPr>
        <w:t>медизделий</w:t>
      </w:r>
      <w:proofErr w:type="spellEnd"/>
      <w:r w:rsidRPr="008F6B52">
        <w:rPr>
          <w:rFonts w:ascii="MyriadPro-Regular" w:eastAsia="Times New Roman" w:hAnsi="MyriadPro-Regular" w:cs="Times New Roman"/>
          <w:sz w:val="35"/>
          <w:szCs w:val="35"/>
        </w:rPr>
        <w:t>,</w:t>
      </w:r>
    </w:p>
    <w:p w:rsidR="003944CF" w:rsidRPr="008F6B52" w:rsidRDefault="003944CF" w:rsidP="008F6B52">
      <w:pPr>
        <w:numPr>
          <w:ilvl w:val="0"/>
          <w:numId w:val="2"/>
        </w:numPr>
        <w:spacing w:after="120"/>
        <w:ind w:left="1434" w:hanging="357"/>
        <w:rPr>
          <w:rFonts w:ascii="MyriadPro-Regular" w:eastAsia="Times New Roman" w:hAnsi="MyriadPro-Regular" w:cs="Times New Roman"/>
          <w:sz w:val="35"/>
          <w:szCs w:val="35"/>
        </w:rPr>
      </w:pPr>
      <w:r w:rsidRPr="008F6B52">
        <w:rPr>
          <w:rFonts w:ascii="MyriadPro-Regular" w:eastAsia="Times New Roman" w:hAnsi="MyriadPro-Regular" w:cs="Times New Roman"/>
          <w:sz w:val="35"/>
          <w:szCs w:val="35"/>
        </w:rPr>
        <w:t xml:space="preserve">предоставления </w:t>
      </w:r>
      <w:proofErr w:type="spellStart"/>
      <w:r w:rsidRPr="008F6B52">
        <w:rPr>
          <w:rFonts w:ascii="MyriadPro-Regular" w:eastAsia="Times New Roman" w:hAnsi="MyriadPro-Regular" w:cs="Times New Roman"/>
          <w:sz w:val="35"/>
          <w:szCs w:val="35"/>
        </w:rPr>
        <w:t>медуслуг</w:t>
      </w:r>
      <w:proofErr w:type="spellEnd"/>
      <w:r w:rsidRPr="008F6B52">
        <w:rPr>
          <w:rFonts w:ascii="MyriadPro-Regular" w:eastAsia="Times New Roman" w:hAnsi="MyriadPro-Regular" w:cs="Times New Roman"/>
          <w:sz w:val="35"/>
          <w:szCs w:val="35"/>
        </w:rPr>
        <w:t>,</w:t>
      </w:r>
    </w:p>
    <w:p w:rsidR="003944CF" w:rsidRPr="008F6B52" w:rsidRDefault="003944CF" w:rsidP="008F6B52">
      <w:pPr>
        <w:numPr>
          <w:ilvl w:val="0"/>
          <w:numId w:val="2"/>
        </w:numPr>
        <w:spacing w:after="0"/>
        <w:ind w:left="1434" w:hanging="357"/>
        <w:rPr>
          <w:rFonts w:ascii="MyriadPro-Regular" w:eastAsia="Times New Roman" w:hAnsi="MyriadPro-Regular" w:cs="Times New Roman"/>
          <w:sz w:val="35"/>
          <w:szCs w:val="35"/>
        </w:rPr>
      </w:pPr>
      <w:r w:rsidRPr="008F6B52">
        <w:rPr>
          <w:rFonts w:ascii="MyriadPro-Regular" w:eastAsia="Times New Roman" w:hAnsi="MyriadPro-Regular" w:cs="Times New Roman"/>
          <w:sz w:val="35"/>
          <w:szCs w:val="35"/>
        </w:rPr>
        <w:t>услуг связи,</w:t>
      </w:r>
    </w:p>
    <w:p w:rsidR="003944CF" w:rsidRPr="008F6B52" w:rsidRDefault="003944CF" w:rsidP="008F6B52">
      <w:pPr>
        <w:numPr>
          <w:ilvl w:val="0"/>
          <w:numId w:val="2"/>
        </w:numPr>
        <w:spacing w:after="0"/>
        <w:ind w:left="1440"/>
        <w:rPr>
          <w:rFonts w:ascii="MyriadPro-Regular" w:eastAsia="Times New Roman" w:hAnsi="MyriadPro-Regular" w:cs="Times New Roman"/>
          <w:sz w:val="35"/>
          <w:szCs w:val="35"/>
        </w:rPr>
      </w:pPr>
      <w:r w:rsidRPr="008F6B52">
        <w:rPr>
          <w:rFonts w:ascii="MyriadPro-Regular" w:eastAsia="Times New Roman" w:hAnsi="MyriadPro-Regular" w:cs="Times New Roman"/>
          <w:sz w:val="35"/>
          <w:szCs w:val="35"/>
        </w:rPr>
        <w:t>транспортных услуг,</w:t>
      </w:r>
    </w:p>
    <w:p w:rsidR="003944CF" w:rsidRPr="008F6B52" w:rsidRDefault="003944CF" w:rsidP="008F6B52">
      <w:pPr>
        <w:numPr>
          <w:ilvl w:val="0"/>
          <w:numId w:val="2"/>
        </w:numPr>
        <w:spacing w:after="0"/>
        <w:ind w:left="1434" w:hanging="357"/>
        <w:rPr>
          <w:rFonts w:ascii="MyriadPro-Regular" w:eastAsia="Times New Roman" w:hAnsi="MyriadPro-Regular" w:cs="Times New Roman"/>
          <w:sz w:val="35"/>
          <w:szCs w:val="35"/>
        </w:rPr>
      </w:pPr>
      <w:r w:rsidRPr="008F6B52">
        <w:rPr>
          <w:rFonts w:ascii="MyriadPro-Regular" w:eastAsia="Times New Roman" w:hAnsi="MyriadPro-Regular" w:cs="Times New Roman"/>
          <w:sz w:val="35"/>
          <w:szCs w:val="35"/>
        </w:rPr>
        <w:t>ЖКХ,</w:t>
      </w:r>
    </w:p>
    <w:p w:rsidR="003944CF" w:rsidRPr="008F6B52" w:rsidRDefault="003944CF" w:rsidP="008F6B52">
      <w:pPr>
        <w:numPr>
          <w:ilvl w:val="0"/>
          <w:numId w:val="2"/>
        </w:numPr>
        <w:spacing w:before="100" w:beforeAutospacing="1" w:after="0"/>
        <w:ind w:left="1434" w:hanging="357"/>
        <w:rPr>
          <w:rFonts w:ascii="MyriadPro-Regular" w:eastAsia="Times New Roman" w:hAnsi="MyriadPro-Regular" w:cs="Times New Roman"/>
          <w:sz w:val="35"/>
          <w:szCs w:val="35"/>
        </w:rPr>
      </w:pPr>
      <w:r w:rsidRPr="008F6B52">
        <w:rPr>
          <w:rFonts w:ascii="MyriadPro-Regular" w:eastAsia="Times New Roman" w:hAnsi="MyriadPro-Regular" w:cs="Times New Roman"/>
          <w:sz w:val="35"/>
          <w:szCs w:val="35"/>
        </w:rPr>
        <w:t>транспортировки нефти и нефтепродуктов по трубопроводам и т.п.</w:t>
      </w:r>
    </w:p>
    <w:p w:rsidR="003944CF" w:rsidRPr="008F6B52" w:rsidRDefault="003944CF" w:rsidP="001975AB">
      <w:pPr>
        <w:spacing w:after="0"/>
        <w:rPr>
          <w:sz w:val="44"/>
          <w:szCs w:val="44"/>
        </w:rPr>
      </w:pPr>
      <w:r w:rsidRPr="008F6B52">
        <w:rPr>
          <w:rFonts w:ascii="MyriadPro-Regular" w:eastAsia="Times New Roman" w:hAnsi="MyriadPro-Regular" w:cs="Times New Roman"/>
          <w:sz w:val="35"/>
          <w:szCs w:val="35"/>
        </w:rPr>
        <w:t>Пр</w:t>
      </w:r>
      <w:r w:rsidR="008F6B52">
        <w:rPr>
          <w:rFonts w:ascii="MyriadPro-Regular" w:eastAsia="Times New Roman" w:hAnsi="MyriadPro-Regular" w:cs="Times New Roman"/>
          <w:sz w:val="35"/>
          <w:szCs w:val="35"/>
        </w:rPr>
        <w:t>оверки не чаще 1 раза в 5 лет. </w:t>
      </w:r>
      <w:r w:rsidRPr="008F6B52">
        <w:rPr>
          <w:rFonts w:ascii="MyriadPro-Regular" w:eastAsia="Times New Roman" w:hAnsi="MyriadPro-Regular" w:cs="Times New Roman"/>
          <w:sz w:val="35"/>
          <w:szCs w:val="35"/>
        </w:rPr>
        <w:br/>
      </w:r>
      <w:r w:rsidRPr="008F6B52">
        <w:rPr>
          <w:rFonts w:ascii="MyriadPro-Regular" w:eastAsia="Times New Roman" w:hAnsi="MyriadPro-Regular" w:cs="Times New Roman"/>
          <w:b/>
          <w:bCs/>
          <w:sz w:val="35"/>
          <w:szCs w:val="35"/>
        </w:rPr>
        <w:t>Низкий риск</w:t>
      </w:r>
      <w:r w:rsidR="008F6B52">
        <w:rPr>
          <w:rFonts w:ascii="MyriadPro-Regular" w:eastAsia="Times New Roman" w:hAnsi="MyriadPro-Regular" w:cs="Times New Roman"/>
          <w:sz w:val="35"/>
          <w:szCs w:val="35"/>
        </w:rPr>
        <w:t> </w:t>
      </w:r>
      <w:r w:rsidRPr="008F6B52">
        <w:rPr>
          <w:rFonts w:ascii="MyriadPro-Regular" w:eastAsia="Times New Roman" w:hAnsi="MyriadPro-Regular" w:cs="Times New Roman"/>
          <w:sz w:val="35"/>
          <w:szCs w:val="35"/>
        </w:rPr>
        <w:br/>
        <w:t>Плановые проверки проводиться не будут. Это снизит административное давление на субъекты малого и среднего предпринимательства. </w:t>
      </w:r>
      <w:r w:rsidRPr="008F6B52">
        <w:rPr>
          <w:rFonts w:ascii="MyriadPro-Regular" w:eastAsia="Times New Roman" w:hAnsi="MyriadPro-Regular" w:cs="Times New Roman"/>
          <w:sz w:val="35"/>
          <w:szCs w:val="35"/>
        </w:rPr>
        <w:br/>
      </w:r>
      <w:r w:rsidRPr="008F6B52">
        <w:rPr>
          <w:rFonts w:ascii="MyriadPro-Regular" w:eastAsia="Times New Roman" w:hAnsi="MyriadPro-Regular" w:cs="Times New Roman"/>
          <w:sz w:val="35"/>
          <w:szCs w:val="35"/>
        </w:rPr>
        <w:br/>
      </w:r>
      <w:r w:rsidRPr="008F6B52">
        <w:rPr>
          <w:rFonts w:ascii="MyriadPro-Regular" w:eastAsia="Times New Roman" w:hAnsi="MyriadPro-Regular" w:cs="Times New Roman"/>
          <w:i/>
          <w:iCs/>
          <w:sz w:val="35"/>
          <w:szCs w:val="35"/>
        </w:rPr>
        <w:t>Источник: </w:t>
      </w:r>
      <w:hyperlink r:id="rId5" w:tgtFrame="_blank" w:history="1">
        <w:r w:rsidRPr="008F6B52">
          <w:rPr>
            <w:rFonts w:ascii="MyriadPro-Regular" w:eastAsia="Times New Roman" w:hAnsi="MyriadPro-Regular" w:cs="Times New Roman"/>
            <w:i/>
            <w:iCs/>
            <w:sz w:val="35"/>
            <w:u w:val="single"/>
          </w:rPr>
          <w:t>https://lentachel.ru/</w:t>
        </w:r>
      </w:hyperlink>
    </w:p>
    <w:p w:rsidR="003944CF" w:rsidRPr="008F6B52" w:rsidRDefault="003944CF" w:rsidP="003944CF"/>
    <w:sectPr w:rsidR="003944CF" w:rsidRPr="008F6B52" w:rsidSect="008F6B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35A2"/>
    <w:multiLevelType w:val="multilevel"/>
    <w:tmpl w:val="7AFC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94E5C"/>
    <w:multiLevelType w:val="multilevel"/>
    <w:tmpl w:val="ABD4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3944CF"/>
    <w:rsid w:val="00053135"/>
    <w:rsid w:val="001975AB"/>
    <w:rsid w:val="003944CF"/>
    <w:rsid w:val="004C5635"/>
    <w:rsid w:val="008F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44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ntachel.ru/news/2018/03/07/fas-odnih-biznesmenov-budut-proveryat-chasche-chem-drugi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4</cp:revision>
  <dcterms:created xsi:type="dcterms:W3CDTF">2018-03-13T07:25:00Z</dcterms:created>
  <dcterms:modified xsi:type="dcterms:W3CDTF">2018-03-14T07:19:00Z</dcterms:modified>
</cp:coreProperties>
</file>